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1662" w:rsidRPr="00BE7239" w:rsidRDefault="00491662" w:rsidP="00491662">
      <w:pPr>
        <w:spacing w:after="0"/>
        <w:jc w:val="center"/>
        <w:rPr>
          <w:b/>
          <w:sz w:val="28"/>
          <w:szCs w:val="28"/>
        </w:rPr>
      </w:pPr>
      <w:r w:rsidRPr="00BE7239">
        <w:rPr>
          <w:b/>
          <w:sz w:val="28"/>
          <w:szCs w:val="28"/>
        </w:rPr>
        <w:t>Encuentro sobre Universidad y Territorio</w:t>
      </w:r>
    </w:p>
    <w:p w:rsidR="00491662" w:rsidRDefault="00491662" w:rsidP="00491662">
      <w:pPr>
        <w:spacing w:after="0" w:line="240" w:lineRule="auto"/>
        <w:jc w:val="center"/>
        <w:rPr>
          <w:b/>
          <w:sz w:val="24"/>
          <w:szCs w:val="24"/>
        </w:rPr>
      </w:pPr>
    </w:p>
    <w:p w:rsidR="00491662" w:rsidRPr="00A821B5" w:rsidRDefault="00491662" w:rsidP="00491662">
      <w:pPr>
        <w:spacing w:after="0" w:line="240" w:lineRule="auto"/>
        <w:jc w:val="center"/>
        <w:rPr>
          <w:b/>
          <w:sz w:val="24"/>
          <w:szCs w:val="24"/>
        </w:rPr>
      </w:pPr>
      <w:r w:rsidRPr="00A821B5">
        <w:rPr>
          <w:b/>
          <w:sz w:val="24"/>
          <w:szCs w:val="24"/>
        </w:rPr>
        <w:t>Universidad Nacional de Quilmes (UNQ)</w:t>
      </w:r>
    </w:p>
    <w:p w:rsidR="00491662" w:rsidRDefault="00491662" w:rsidP="00491662">
      <w:pPr>
        <w:spacing w:after="0" w:line="240" w:lineRule="auto"/>
        <w:jc w:val="center"/>
        <w:rPr>
          <w:sz w:val="24"/>
          <w:szCs w:val="24"/>
        </w:rPr>
      </w:pPr>
      <w:r>
        <w:rPr>
          <w:sz w:val="24"/>
          <w:szCs w:val="24"/>
        </w:rPr>
        <w:t>Programa Institucional Interdisciplinario de Intervención Socioambiental (PIIdISA)</w:t>
      </w:r>
    </w:p>
    <w:p w:rsidR="00491662" w:rsidRDefault="00491662" w:rsidP="00491662">
      <w:pPr>
        <w:spacing w:after="0" w:line="240" w:lineRule="auto"/>
        <w:jc w:val="center"/>
        <w:rPr>
          <w:sz w:val="24"/>
          <w:szCs w:val="24"/>
        </w:rPr>
      </w:pPr>
      <w:r>
        <w:rPr>
          <w:sz w:val="24"/>
          <w:szCs w:val="24"/>
        </w:rPr>
        <w:t>Departamento de Economía y Administración (DEyA)</w:t>
      </w:r>
    </w:p>
    <w:p w:rsidR="00491662" w:rsidRDefault="00491662" w:rsidP="00491662">
      <w:pPr>
        <w:spacing w:after="0" w:line="240" w:lineRule="auto"/>
        <w:jc w:val="center"/>
        <w:rPr>
          <w:sz w:val="24"/>
          <w:szCs w:val="24"/>
        </w:rPr>
      </w:pPr>
      <w:r>
        <w:rPr>
          <w:sz w:val="24"/>
          <w:szCs w:val="24"/>
        </w:rPr>
        <w:t>Centro de Desarrollo Territorial (CDT)</w:t>
      </w:r>
    </w:p>
    <w:p w:rsidR="00491662" w:rsidRDefault="00491662" w:rsidP="00491662">
      <w:pPr>
        <w:spacing w:after="0" w:line="240" w:lineRule="auto"/>
        <w:jc w:val="center"/>
        <w:rPr>
          <w:sz w:val="24"/>
          <w:szCs w:val="24"/>
        </w:rPr>
      </w:pPr>
      <w:r>
        <w:rPr>
          <w:sz w:val="24"/>
          <w:szCs w:val="24"/>
        </w:rPr>
        <w:t>S</w:t>
      </w:r>
      <w:r w:rsidRPr="00653E71">
        <w:rPr>
          <w:sz w:val="24"/>
          <w:szCs w:val="24"/>
        </w:rPr>
        <w:t xml:space="preserve">ecretaría de </w:t>
      </w:r>
      <w:r>
        <w:rPr>
          <w:sz w:val="24"/>
          <w:szCs w:val="24"/>
        </w:rPr>
        <w:t>Extensión (UNQ)</w:t>
      </w:r>
    </w:p>
    <w:p w:rsidR="00491662" w:rsidRDefault="00491662" w:rsidP="00491662">
      <w:pPr>
        <w:spacing w:after="0" w:line="240" w:lineRule="auto"/>
        <w:jc w:val="center"/>
        <w:rPr>
          <w:sz w:val="24"/>
          <w:szCs w:val="24"/>
        </w:rPr>
      </w:pPr>
    </w:p>
    <w:p w:rsidR="00491662" w:rsidRDefault="00491662" w:rsidP="00491662">
      <w:pPr>
        <w:spacing w:after="0" w:line="240" w:lineRule="auto"/>
        <w:jc w:val="center"/>
        <w:rPr>
          <w:b/>
          <w:sz w:val="24"/>
          <w:szCs w:val="24"/>
        </w:rPr>
      </w:pPr>
      <w:r>
        <w:rPr>
          <w:b/>
          <w:sz w:val="24"/>
          <w:szCs w:val="24"/>
        </w:rPr>
        <w:t>Centro Cultural de la Cooperación (CCC)</w:t>
      </w:r>
    </w:p>
    <w:p w:rsidR="00491662" w:rsidRPr="009B7360" w:rsidRDefault="00491662" w:rsidP="00491662">
      <w:pPr>
        <w:spacing w:after="0" w:line="240" w:lineRule="auto"/>
        <w:jc w:val="center"/>
        <w:rPr>
          <w:b/>
          <w:sz w:val="24"/>
          <w:szCs w:val="24"/>
        </w:rPr>
      </w:pPr>
    </w:p>
    <w:p w:rsidR="00491662" w:rsidRDefault="00491662" w:rsidP="00491662">
      <w:pPr>
        <w:spacing w:after="0" w:line="240" w:lineRule="auto"/>
        <w:jc w:val="center"/>
        <w:rPr>
          <w:sz w:val="24"/>
          <w:szCs w:val="24"/>
        </w:rPr>
      </w:pPr>
      <w:r>
        <w:rPr>
          <w:sz w:val="24"/>
          <w:szCs w:val="24"/>
        </w:rPr>
        <w:t>16 al 18 mayo 2018</w:t>
      </w:r>
    </w:p>
    <w:p w:rsidR="00491662" w:rsidRDefault="00491662" w:rsidP="00491662">
      <w:pPr>
        <w:spacing w:after="120" w:line="300" w:lineRule="auto"/>
        <w:jc w:val="both"/>
        <w:rPr>
          <w:rFonts w:eastAsia="Cambria" w:cs="Cambria"/>
          <w:shd w:val="clear" w:color="auto" w:fill="FFFFFF"/>
        </w:rPr>
      </w:pPr>
    </w:p>
    <w:p w:rsidR="00491662" w:rsidRDefault="00491662" w:rsidP="00491662">
      <w:pPr>
        <w:spacing w:after="120" w:line="300" w:lineRule="auto"/>
        <w:jc w:val="both"/>
      </w:pPr>
      <w:r w:rsidRPr="008B672B">
        <w:rPr>
          <w:rFonts w:eastAsia="Cambria" w:cs="Cambria"/>
          <w:shd w:val="clear" w:color="auto" w:fill="FFFFFF"/>
        </w:rPr>
        <w:t xml:space="preserve">La Universidad Nacional de Quilmes (UNQ) ha venido desarrollando un conjunto de actividades de docencia, investigación, extensión y transferencia </w:t>
      </w:r>
      <w:r>
        <w:rPr>
          <w:rFonts w:eastAsia="Cambria" w:cs="Cambria"/>
          <w:shd w:val="clear" w:color="auto" w:fill="FFFFFF"/>
        </w:rPr>
        <w:t xml:space="preserve">en </w:t>
      </w:r>
      <w:r w:rsidRPr="008B672B">
        <w:rPr>
          <w:rFonts w:eastAsia="Cambria" w:cs="Cambria"/>
          <w:shd w:val="clear" w:color="auto" w:fill="FFFFFF"/>
        </w:rPr>
        <w:t xml:space="preserve">su entorno territorial para intervenir </w:t>
      </w:r>
      <w:proofErr w:type="gramStart"/>
      <w:r w:rsidRPr="008B672B">
        <w:rPr>
          <w:rFonts w:eastAsia="Cambria" w:cs="Cambria"/>
          <w:shd w:val="clear" w:color="auto" w:fill="FFFFFF"/>
        </w:rPr>
        <w:t>positivamente</w:t>
      </w:r>
      <w:proofErr w:type="gramEnd"/>
      <w:r w:rsidRPr="008B672B">
        <w:rPr>
          <w:rFonts w:eastAsia="Cambria" w:cs="Cambria"/>
          <w:shd w:val="clear" w:color="auto" w:fill="FFFFFF"/>
        </w:rPr>
        <w:t xml:space="preserve"> en mejorar las condiciones socioambientales y de vida de los sectores </w:t>
      </w:r>
      <w:r>
        <w:rPr>
          <w:rFonts w:eastAsia="Cambria" w:cs="Cambria"/>
          <w:shd w:val="clear" w:color="auto" w:fill="FFFFFF"/>
        </w:rPr>
        <w:t xml:space="preserve">más vulnerables y contribuir con su inclusión </w:t>
      </w:r>
      <w:r w:rsidRPr="000B214B">
        <w:t>social.</w:t>
      </w:r>
      <w:r>
        <w:t xml:space="preserve"> Estas actividades en relación con la temática socioambiental se llevan adelante en alguna medida desde el </w:t>
      </w:r>
      <w:r w:rsidRPr="000B214B">
        <w:t>Programa Institucional Interdisciplinario de Intervención Socioambiental (PIIdISA)</w:t>
      </w:r>
      <w:r>
        <w:t xml:space="preserve"> bajo la premisa de un </w:t>
      </w:r>
      <w:r w:rsidRPr="007A4F6D">
        <w:t>compromiso fuerte con el desarrollo sustentable hacia adentro y hacia afuera, actuando como agente de cambio que es, a su vez, un compromiso con la sociedad, con las comunidades locales y con la naturaleza.</w:t>
      </w:r>
      <w:r>
        <w:t xml:space="preserve"> Si bien el concepto de desarrollo sustentable ha sido muy criticado y está a la vista que las metas que se han establecido a nivel mundial no se han cumplido, se trata de no abandonar las potencialidades que el mismo tiene para abordar una nueva visión del desarrollo donde el énfasis esté en la sustentabilidad de la sociedad orientada por un </w:t>
      </w:r>
      <w:r w:rsidRPr="001E164B">
        <w:rPr>
          <w:i/>
        </w:rPr>
        <w:t>nueva ética</w:t>
      </w:r>
      <w:r>
        <w:t xml:space="preserve"> del desarrollo que reconozca la subordinación del subsistema económico al sistema natural. Este compromiso de la universidad se ha extendido a otros territorios distantes de la misma donde se desarrollan actividades extractivas que afectan negativamente el entorno.</w:t>
      </w:r>
    </w:p>
    <w:p w:rsidR="00491662" w:rsidRDefault="00491662" w:rsidP="00491662">
      <w:pPr>
        <w:spacing w:after="120" w:line="300" w:lineRule="auto"/>
        <w:jc w:val="both"/>
      </w:pPr>
      <w:r>
        <w:t xml:space="preserve">Desde otras unidades de la UNQ y diversos proyectos de investigación se ha avanzado en temas de formación, extensión y voluntariados diversos que reflejan el compromiso de la universidad con el territorio. Estos proyectos incluyen la vinculación con otras universidades nacionales y extranjeras con las cuales se ha desarrollado un fluido intercambio de investigadores y diversos trabajos de investigación. </w:t>
      </w:r>
    </w:p>
    <w:p w:rsidR="00491662" w:rsidRDefault="00491662" w:rsidP="00491662">
      <w:pPr>
        <w:spacing w:after="120" w:line="300" w:lineRule="auto"/>
        <w:jc w:val="both"/>
      </w:pPr>
      <w:r>
        <w:t>La investigación sobre el t</w:t>
      </w:r>
      <w:r w:rsidRPr="00DE5446">
        <w:t>erritorio</w:t>
      </w:r>
      <w:r>
        <w:t xml:space="preserve"> desde la universidad nos remite por un lado, a la pertinencia académica, socioeconómica y ambiental de la misma, y, por otro, al compromiso de la universidad hacia afuera, con el territorio, con la comunidad en sentido amplio, de los que forma parte dado que es un actor significativo en los procesos de desarrollo.</w:t>
      </w:r>
    </w:p>
    <w:p w:rsidR="00491662" w:rsidRDefault="00491662" w:rsidP="00491662">
      <w:pPr>
        <w:spacing w:after="120" w:line="300" w:lineRule="auto"/>
        <w:jc w:val="both"/>
      </w:pPr>
      <w:r>
        <w:lastRenderedPageBreak/>
        <w:t>Territorio implica dinámicas y conflictos que se dan tanto a nivel de las comunidades que lo habitan, de los que llegan y desplazan, de los que están y se adaptan o resisten, como en  la relación sociedad-naturaleza que se visualiza fuertemente como la relación economía-ambiente.</w:t>
      </w:r>
    </w:p>
    <w:p w:rsidR="00491662" w:rsidRDefault="00491662" w:rsidP="00491662">
      <w:pPr>
        <w:spacing w:after="120" w:line="300" w:lineRule="auto"/>
        <w:jc w:val="both"/>
      </w:pPr>
      <w:r>
        <w:t>C</w:t>
      </w:r>
      <w:r w:rsidRPr="003172E0">
        <w:t xml:space="preserve">ada día se amplían los conflictos sociales </w:t>
      </w:r>
      <w:r>
        <w:t xml:space="preserve">no sólo por ingresos, empleo o problemas urbanos varios, sino también por aquellos </w:t>
      </w:r>
      <w:r w:rsidRPr="003172E0">
        <w:t xml:space="preserve">de base ambiental, </w:t>
      </w:r>
      <w:r>
        <w:t xml:space="preserve">como los </w:t>
      </w:r>
      <w:r w:rsidRPr="003172E0">
        <w:t xml:space="preserve">conflictos ecológicos, </w:t>
      </w:r>
      <w:r>
        <w:t xml:space="preserve">que reflejan la </w:t>
      </w:r>
      <w:r w:rsidRPr="003172E0">
        <w:t xml:space="preserve">búsqueda de justicia </w:t>
      </w:r>
      <w:r>
        <w:t>socio-</w:t>
      </w:r>
      <w:r w:rsidRPr="003172E0">
        <w:t>ambiental y la universidad tiene mucho que decir y hacer en este contexto.</w:t>
      </w:r>
      <w:r>
        <w:t xml:space="preserve"> No actuar significa mantener una posición de reproductor de la situación actual y, en este sentido, este evento refleja los esfuerzos que se han venido realizando esta línea de acción.</w:t>
      </w:r>
    </w:p>
    <w:p w:rsidR="00491662" w:rsidRPr="00DB3FA8" w:rsidRDefault="00491662" w:rsidP="00491662">
      <w:pPr>
        <w:spacing w:after="120" w:line="300" w:lineRule="auto"/>
        <w:jc w:val="both"/>
      </w:pPr>
      <w:r>
        <w:t>L</w:t>
      </w:r>
      <w:r w:rsidRPr="00446F40">
        <w:t>os territorios social y ambientalmente vulnerables son el lugar de las carencias y del riesgo pero, a su vez, son también el lugar de conflictos y espacios de resistencia ambiental y urban</w:t>
      </w:r>
      <w:r>
        <w:t>a</w:t>
      </w:r>
      <w:r w:rsidRPr="00446F40">
        <w:t>. Estos confli</w:t>
      </w:r>
      <w:r>
        <w:t>ctos como resistencias, emergen/</w:t>
      </w:r>
      <w:r w:rsidRPr="00446F40">
        <w:t xml:space="preserve">alertan sobre la vulnerabilidad socio-territorial al tiempo que pueden desencadenar procesos que inspiran nuevas formas de concebir y abordar la planificación y las políticas. </w:t>
      </w:r>
      <w:r>
        <w:t>También estos territorios son el espacio de la economía social, de la economía popular, del circuito del reciclaje con cartoneros e intermediarios diversos que se relacionan con empresas locales y empresas transnacionales dando configuraciones particulares a los mismos. Territorios donde la injusticia ambiental asoma como resultado de localizaciones industriales que conllevan un</w:t>
      </w:r>
      <w:r w:rsidRPr="00087F03">
        <w:t xml:space="preserve"> proceso de degradación ambiental </w:t>
      </w:r>
      <w:r>
        <w:t xml:space="preserve">que </w:t>
      </w:r>
      <w:r w:rsidRPr="00087F03">
        <w:t>se torna, muchas veces, imperceptible para los habitantes</w:t>
      </w:r>
      <w:r>
        <w:t>.</w:t>
      </w:r>
      <w:r w:rsidRPr="00DB3FA8">
        <w:t xml:space="preserve"> </w:t>
      </w:r>
    </w:p>
    <w:p w:rsidR="00491662" w:rsidRDefault="00491662" w:rsidP="00491662">
      <w:pPr>
        <w:spacing w:after="120" w:line="300" w:lineRule="auto"/>
        <w:jc w:val="both"/>
      </w:pPr>
      <w:r>
        <w:t xml:space="preserve">No podemos olvidar amplios espacios sometidos a intervenciones </w:t>
      </w:r>
      <w:r>
        <w:t>antropicas</w:t>
      </w:r>
      <w:r>
        <w:t xml:space="preserve"> de gran envergadura como la minería a cielo abierto, la extracción de agua de acuíferos subterráneos, la afectación de selvas marginales y humedales, que dan lugar a situaciones de vulnerabilidad ambiental y social que configuran </w:t>
      </w:r>
      <w:r w:rsidRPr="00446F40">
        <w:t>territorios vulnerables</w:t>
      </w:r>
      <w:r>
        <w:t xml:space="preserve"> más allá de las ciudades. Es muy claro en el caso del litio: un territorio donde todavía interactúan culturas, identidades milenarias con procesos que han ido construyendo el territorio a través de las marcas humanas en el tiempo y que si llamábamos territorios vulnerables para indicar diversas carencias a nivel social, económico, ambiental hoy llamamos </w:t>
      </w:r>
      <w:r w:rsidRPr="00A259BB">
        <w:rPr>
          <w:i/>
        </w:rPr>
        <w:t>territorios vulnerados</w:t>
      </w:r>
      <w:r>
        <w:t xml:space="preserve"> por una nueva intromisión del proceso de globalización económica de la mano de las empresas extranjeras mineras. Nueva en sentido relativo, dado que nuestros territorios han sido vulnerados a lo largo del desarrollo del capitalismo, de hecho la acumulación originaria tiene su base en la apropiación y explotación de los recursos naturales y de los pueblos originarios en lo que fue el extractivismo originario.</w:t>
      </w:r>
    </w:p>
    <w:p w:rsidR="00491662" w:rsidRDefault="00491662" w:rsidP="00491662">
      <w:pPr>
        <w:spacing w:after="120" w:line="300" w:lineRule="auto"/>
        <w:jc w:val="both"/>
        <w:rPr>
          <w:lang w:eastAsia="es-AR"/>
        </w:rPr>
      </w:pPr>
      <w:r>
        <w:t>Hoy hablamos de nuevo extractivismo, de reprimarización económica en relación no sólo con las políticas de reestructuración y apertura de las economías ligadas al llamado Consenso de Washington sino a otro nuevo, el Consenso de los Commodities</w:t>
      </w:r>
      <w:r>
        <w:rPr>
          <w:rStyle w:val="Refdenotaalpie"/>
          <w:rFonts w:cs="Courier New"/>
        </w:rPr>
        <w:footnoteReference w:id="1"/>
      </w:r>
      <w:r>
        <w:rPr>
          <w:lang w:eastAsia="es-AR"/>
        </w:rPr>
        <w:t xml:space="preserve">. </w:t>
      </w:r>
      <w:r>
        <w:rPr>
          <w:rFonts w:cs="Courier New"/>
        </w:rPr>
        <w:t xml:space="preserve">Al respecto Svampa (2012: 16) afirma que “En el último decenio, América Latina realizó el pasaje del Consenso de Washington, </w:t>
      </w:r>
      <w:r>
        <w:rPr>
          <w:rFonts w:cs="Courier New"/>
        </w:rPr>
        <w:lastRenderedPageBreak/>
        <w:t>asentado sobre la valorización financiera, al Consenso de los Commodities, basado en la exportación de bienes primarios a gran escala”. Por su parte, Bruckmann (2013) resaltando la cuestión política regional afirma que “El proyecto de reorganización de la  hegemonía estadounidense en América Latina es parte de un proceso complejo de dominación que asume múltiples dimensiones y que busca garantizar sus ‘intereses vitales’ colocando el acceso, la apropiación y la gestión de los recursos naturales como cuestiones de seguridad nacional”</w:t>
      </w:r>
      <w:r>
        <w:rPr>
          <w:rStyle w:val="Refdenotaalpie"/>
          <w:rFonts w:cs="Courier New"/>
        </w:rPr>
        <w:footnoteReference w:id="2"/>
      </w:r>
      <w:r>
        <w:rPr>
          <w:rFonts w:cs="Courier New"/>
        </w:rPr>
        <w:t>.</w:t>
      </w:r>
      <w:r>
        <w:rPr>
          <w:lang w:eastAsia="es-AR"/>
        </w:rPr>
        <w:t xml:space="preserve"> </w:t>
      </w:r>
    </w:p>
    <w:p w:rsidR="00491662" w:rsidRDefault="00491662" w:rsidP="00491662">
      <w:pPr>
        <w:spacing w:after="120" w:line="300" w:lineRule="auto"/>
        <w:jc w:val="both"/>
      </w:pPr>
      <w:r>
        <w:t xml:space="preserve">Asistimos a </w:t>
      </w:r>
      <w:r w:rsidRPr="00B57239">
        <w:t>un fuerte impacto en los recursos naturales, en las actividades económicas y en la sociedad en su conjunto. Si desde el punto de vista de la población este impacto se visualiza</w:t>
      </w:r>
      <w:r>
        <w:t xml:space="preserve"> </w:t>
      </w:r>
      <w:r w:rsidRPr="00B57239">
        <w:t>fundamentalmente en el crecimiento de la desigualdad</w:t>
      </w:r>
      <w:r>
        <w:t>,</w:t>
      </w:r>
      <w:r w:rsidRPr="00B57239">
        <w:t xml:space="preserve"> desde la visión económica sectorial se asiste a una reprimarización de las economías latinoamericanas</w:t>
      </w:r>
      <w:r>
        <w:t xml:space="preserve"> que ya se visualizaba en los años noventa</w:t>
      </w:r>
      <w:r w:rsidRPr="00B57239">
        <w:t xml:space="preserve"> (Uribe-Echeverría, 1990)</w:t>
      </w:r>
      <w:r>
        <w:rPr>
          <w:rStyle w:val="Refdenotaalpie"/>
        </w:rPr>
        <w:footnoteReference w:id="3"/>
      </w:r>
      <w:r w:rsidRPr="00B57239">
        <w:t>, mientras que desde la perspectiva de</w:t>
      </w:r>
      <w:r>
        <w:t xml:space="preserve"> </w:t>
      </w:r>
      <w:r w:rsidRPr="00B57239">
        <w:t>los recursos naturales se percibe una intensificación de su uso y degradación sin que, obviamente, un proceso</w:t>
      </w:r>
      <w:r>
        <w:t xml:space="preserve"> resulte independiente del otro. Es decir, </w:t>
      </w:r>
      <w:r w:rsidRPr="00B57239">
        <w:t>va más allá del ámbito económico productivo, abarcando las dimensiones culturales, sociales, políticas</w:t>
      </w:r>
      <w:r>
        <w:t>, ambientales</w:t>
      </w:r>
      <w:r w:rsidRPr="00B57239">
        <w:t xml:space="preserve"> y un impacto territori</w:t>
      </w:r>
      <w:r>
        <w:t xml:space="preserve">al que </w:t>
      </w:r>
      <w:r w:rsidRPr="00B57239">
        <w:t>tiene considerable influencia en cambios en la identidad, modos de vida y organización de las comunidades locales y regionales donde</w:t>
      </w:r>
      <w:r>
        <w:t xml:space="preserve"> las</w:t>
      </w:r>
      <w:r w:rsidRPr="00B57239">
        <w:t xml:space="preserve"> inversiones </w:t>
      </w:r>
      <w:r>
        <w:t>extranjeras se localizan.</w:t>
      </w:r>
    </w:p>
    <w:p w:rsidR="00491662" w:rsidRDefault="00491662" w:rsidP="00491662">
      <w:pPr>
        <w:autoSpaceDE w:val="0"/>
        <w:autoSpaceDN w:val="0"/>
        <w:adjustRightInd w:val="0"/>
        <w:spacing w:after="120" w:line="300" w:lineRule="auto"/>
        <w:jc w:val="both"/>
        <w:rPr>
          <w:rFonts w:cs="Courier New"/>
        </w:rPr>
      </w:pPr>
      <w:r>
        <w:rPr>
          <w:rFonts w:cs="Courier New"/>
        </w:rPr>
        <w:t>Entonces podemos preguntarnos entre otras cosas, si estamos condenados al modelo minero de concesiones para la producción de commodities en el marco del neo extractivismo o existe la posibilidad de iniciar en la región un proceso soberano de industrialización de nuestros minerales al servicio, por ejemplo, de un nuevo esquema energético sustentable (Nacif, 2015)</w:t>
      </w:r>
      <w:r>
        <w:rPr>
          <w:rStyle w:val="Refdenotaalpie"/>
          <w:rFonts w:cs="Courier New"/>
        </w:rPr>
        <w:footnoteReference w:id="4"/>
      </w:r>
      <w:r>
        <w:rPr>
          <w:rFonts w:cs="Courier New"/>
        </w:rPr>
        <w:t>.</w:t>
      </w:r>
    </w:p>
    <w:p w:rsidR="00491662" w:rsidRPr="004B3A9A" w:rsidRDefault="00491662" w:rsidP="00491662">
      <w:pPr>
        <w:spacing w:after="120" w:line="300" w:lineRule="auto"/>
        <w:jc w:val="both"/>
      </w:pPr>
      <w:r>
        <w:t xml:space="preserve">Este evento sobre </w:t>
      </w:r>
      <w:r w:rsidRPr="00417560">
        <w:rPr>
          <w:i/>
        </w:rPr>
        <w:t>Universidad y Territorio</w:t>
      </w:r>
      <w:r>
        <w:t xml:space="preserve"> da continuidad al</w:t>
      </w:r>
      <w:r w:rsidRPr="00746B38">
        <w:rPr>
          <w:i/>
        </w:rPr>
        <w:t xml:space="preserve"> Encuentro sobre “Territorios vulnerables y conflictos urbanos y ambientales”</w:t>
      </w:r>
      <w:r>
        <w:t xml:space="preserve"> realizado en 2016 y a los seminarios “</w:t>
      </w:r>
      <w:r>
        <w:rPr>
          <w:i/>
        </w:rPr>
        <w:t>ABC del Li</w:t>
      </w:r>
      <w:r w:rsidRPr="00417560">
        <w:rPr>
          <w:i/>
        </w:rPr>
        <w:t>tio Sudamericano</w:t>
      </w:r>
      <w:r>
        <w:rPr>
          <w:i/>
        </w:rPr>
        <w:t>”</w:t>
      </w:r>
      <w:r>
        <w:t xml:space="preserve"> realizados en 2013 y 2015 conjuntamente con el Centro Cultural de la Cooperación como en esta oportunidad. </w:t>
      </w:r>
    </w:p>
    <w:p w:rsidR="00491662" w:rsidRPr="009B7360" w:rsidRDefault="00491662" w:rsidP="00491662">
      <w:pPr>
        <w:spacing w:after="120" w:line="300" w:lineRule="auto"/>
        <w:jc w:val="both"/>
      </w:pPr>
      <w:r>
        <w:t xml:space="preserve">La inauguración se llevará a cabo en la Universidad Nacional de Quilmes, Roque Sáenz Peña 352, Bernal, Buenos Aires, Argentina, el día 18 de mayo de 2018 a las 18hs y las sesiones siguientes del 17 y 18 de mayo en el Centro Cultural de la Cooperación Floreal Gorini, </w:t>
      </w:r>
      <w:r w:rsidRPr="00BE7239">
        <w:t>Av. Corrientes 1543, Ciudad Autónoma de Buenos Aires de 9 a 17hs.</w:t>
      </w:r>
      <w:r>
        <w:t xml:space="preserve"> </w:t>
      </w:r>
    </w:p>
    <w:p w:rsidR="00491662" w:rsidRDefault="00491662" w:rsidP="00491662"/>
    <w:p w:rsidR="00491662" w:rsidRPr="00491662" w:rsidRDefault="00491662" w:rsidP="00491662">
      <w:pPr>
        <w:rPr>
          <w:b/>
        </w:rPr>
      </w:pPr>
      <w:r w:rsidRPr="00491662">
        <w:rPr>
          <w:b/>
        </w:rPr>
        <w:lastRenderedPageBreak/>
        <w:t>Programa</w:t>
      </w:r>
    </w:p>
    <w:p w:rsidR="00491662" w:rsidRDefault="00491662" w:rsidP="00491662">
      <w:pPr>
        <w:spacing w:after="0" w:line="240" w:lineRule="auto"/>
      </w:pPr>
      <w:r>
        <w:t>Miércoles 16/05/2018  18hs</w:t>
      </w:r>
      <w:r>
        <w:t xml:space="preserve"> </w:t>
      </w:r>
      <w:r>
        <w:t>UNQ</w:t>
      </w:r>
    </w:p>
    <w:p w:rsidR="00491662" w:rsidRDefault="00491662" w:rsidP="00491662">
      <w:pPr>
        <w:spacing w:after="0" w:line="240" w:lineRule="auto"/>
      </w:pPr>
      <w:r w:rsidRPr="00491662">
        <w:rPr>
          <w:b/>
        </w:rPr>
        <w:t>Sesión Inaugural</w:t>
      </w:r>
    </w:p>
    <w:p w:rsidR="00491662" w:rsidRPr="00491662" w:rsidRDefault="00491662" w:rsidP="00491662">
      <w:pPr>
        <w:spacing w:after="0" w:line="240" w:lineRule="auto"/>
      </w:pPr>
    </w:p>
    <w:p w:rsidR="00491662" w:rsidRDefault="00491662" w:rsidP="00491662">
      <w:pPr>
        <w:spacing w:after="0" w:line="240" w:lineRule="auto"/>
        <w:jc w:val="both"/>
      </w:pPr>
      <w:r>
        <w:t xml:space="preserve">Jueves 17/05 9,30-17hs Sede CCC. </w:t>
      </w:r>
      <w:r>
        <w:rPr>
          <w:rStyle w:val="lrzxr"/>
        </w:rPr>
        <w:t>Av. Corrientes 1543, Buenos Aires</w:t>
      </w:r>
    </w:p>
    <w:p w:rsidR="00491662" w:rsidRDefault="00491662" w:rsidP="00491662">
      <w:pPr>
        <w:rPr>
          <w:b/>
        </w:rPr>
      </w:pPr>
      <w:r w:rsidRPr="00491662">
        <w:rPr>
          <w:b/>
        </w:rPr>
        <w:t>Universidad y Territorio</w:t>
      </w:r>
    </w:p>
    <w:p w:rsidR="00491662" w:rsidRPr="00491662" w:rsidRDefault="00491662" w:rsidP="00491662">
      <w:pPr>
        <w:rPr>
          <w:b/>
        </w:rPr>
      </w:pPr>
      <w:r>
        <w:rPr>
          <w:b/>
        </w:rPr>
        <w:t>Universidad y Desarrollo Sustentable</w:t>
      </w:r>
    </w:p>
    <w:p w:rsidR="00491662" w:rsidRDefault="00491662" w:rsidP="00491662">
      <w:pPr>
        <w:spacing w:after="0" w:line="240" w:lineRule="auto"/>
        <w:jc w:val="both"/>
        <w:rPr>
          <w:b/>
          <w:i/>
        </w:rPr>
      </w:pPr>
      <w:r>
        <w:t xml:space="preserve">Viernes 18/05 9,30-15hs Sede CCC. </w:t>
      </w:r>
      <w:r>
        <w:rPr>
          <w:rStyle w:val="lrzxr"/>
        </w:rPr>
        <w:t>Av. Corrientes 1543, Buenos Aires</w:t>
      </w:r>
      <w:r w:rsidRPr="006116CB">
        <w:rPr>
          <w:b/>
          <w:i/>
        </w:rPr>
        <w:t xml:space="preserve"> </w:t>
      </w:r>
    </w:p>
    <w:p w:rsidR="00491662" w:rsidRDefault="00491662" w:rsidP="00491662">
      <w:pPr>
        <w:rPr>
          <w:b/>
        </w:rPr>
      </w:pPr>
      <w:r w:rsidRPr="00491662">
        <w:rPr>
          <w:b/>
        </w:rPr>
        <w:t>ABC del Litio Sudamericano</w:t>
      </w:r>
    </w:p>
    <w:p w:rsidR="00491662" w:rsidRDefault="00491662" w:rsidP="00491662">
      <w:pPr>
        <w:rPr>
          <w:b/>
        </w:rPr>
      </w:pPr>
      <w:r>
        <w:rPr>
          <w:b/>
        </w:rPr>
        <w:t>Argentina, Bolivia, Chile</w:t>
      </w:r>
    </w:p>
    <w:p w:rsidR="00491662" w:rsidRPr="00491662" w:rsidRDefault="00491662" w:rsidP="00491662">
      <w:pPr>
        <w:rPr>
          <w:b/>
        </w:rPr>
      </w:pPr>
      <w:r>
        <w:rPr>
          <w:b/>
        </w:rPr>
        <w:t>16hs Foro: El Litio en perspectiva</w:t>
      </w:r>
    </w:p>
    <w:p w:rsidR="00491662" w:rsidRPr="00491662" w:rsidRDefault="00491662" w:rsidP="00491662">
      <w:r w:rsidRPr="00491662">
        <w:rPr>
          <w:b/>
        </w:rPr>
        <w:t>Cierre</w:t>
      </w:r>
      <w:r>
        <w:rPr>
          <w:b/>
        </w:rPr>
        <w:t xml:space="preserve"> 17hs.</w:t>
      </w:r>
    </w:p>
    <w:sectPr w:rsidR="00491662" w:rsidRPr="00491662" w:rsidSect="00F1775B">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6FDE" w:rsidRDefault="00366FDE" w:rsidP="00491662">
      <w:pPr>
        <w:spacing w:after="0" w:line="240" w:lineRule="auto"/>
      </w:pPr>
      <w:r>
        <w:separator/>
      </w:r>
    </w:p>
  </w:endnote>
  <w:endnote w:type="continuationSeparator" w:id="0">
    <w:p w:rsidR="00366FDE" w:rsidRDefault="00366FDE" w:rsidP="004916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6FDE" w:rsidRDefault="00366FDE" w:rsidP="00491662">
      <w:pPr>
        <w:spacing w:after="0" w:line="240" w:lineRule="auto"/>
      </w:pPr>
      <w:r>
        <w:separator/>
      </w:r>
    </w:p>
  </w:footnote>
  <w:footnote w:type="continuationSeparator" w:id="0">
    <w:p w:rsidR="00366FDE" w:rsidRDefault="00366FDE" w:rsidP="00491662">
      <w:pPr>
        <w:spacing w:after="0" w:line="240" w:lineRule="auto"/>
      </w:pPr>
      <w:r>
        <w:continuationSeparator/>
      </w:r>
    </w:p>
  </w:footnote>
  <w:footnote w:id="1">
    <w:p w:rsidR="00491662" w:rsidRDefault="00491662" w:rsidP="00491662">
      <w:pPr>
        <w:pStyle w:val="Textonotapie"/>
      </w:pPr>
      <w:r>
        <w:rPr>
          <w:rStyle w:val="Refdenotaalpie"/>
        </w:rPr>
        <w:footnoteRef/>
      </w:r>
      <w:r>
        <w:t xml:space="preserve"> Tomado de: 1. Revista Crisis. Colectivo Editorial, “El consenso de los commodities” n° 5 junio-julio 2011 y  2. M. Svampa, “</w:t>
      </w:r>
      <w:r>
        <w:rPr>
          <w:rStyle w:val="texto10"/>
        </w:rPr>
        <w:t xml:space="preserve">Consenso de los commodities, giro </w:t>
      </w:r>
      <w:proofErr w:type="spellStart"/>
      <w:r>
        <w:rPr>
          <w:rStyle w:val="texto10"/>
        </w:rPr>
        <w:t>ecoterritorial</w:t>
      </w:r>
      <w:proofErr w:type="spellEnd"/>
      <w:r>
        <w:rPr>
          <w:rStyle w:val="texto10"/>
        </w:rPr>
        <w:t xml:space="preserve"> y pensamiento crítico en América Latina” </w:t>
      </w:r>
      <w:r>
        <w:t xml:space="preserve">OSAL Nº 32 septiembre 2012,  </w:t>
      </w:r>
      <w:proofErr w:type="spellStart"/>
      <w:r>
        <w:t>pp</w:t>
      </w:r>
      <w:proofErr w:type="spellEnd"/>
      <w:r>
        <w:t xml:space="preserve"> 15.38</w:t>
      </w:r>
    </w:p>
  </w:footnote>
  <w:footnote w:id="2">
    <w:p w:rsidR="00491662" w:rsidRDefault="00491662" w:rsidP="00491662">
      <w:pPr>
        <w:pStyle w:val="Textonotapie"/>
      </w:pPr>
      <w:r>
        <w:rPr>
          <w:rStyle w:val="Refdenotaalpie"/>
        </w:rPr>
        <w:footnoteRef/>
      </w:r>
      <w:r>
        <w:t xml:space="preserve"> M. Bruckman: “Recursos naturales, biodiversidad y ambiente en UNASUR: Una visión Estratégica” en Secretaria General de UNASUR: </w:t>
      </w:r>
      <w:r>
        <w:rPr>
          <w:i/>
        </w:rPr>
        <w:t>Recursos Naturales y Desarrollo Integral de la Región</w:t>
      </w:r>
      <w:r>
        <w:t>. Caracas, mayo 2013.</w:t>
      </w:r>
    </w:p>
  </w:footnote>
  <w:footnote w:id="3">
    <w:p w:rsidR="00491662" w:rsidRPr="009B7360" w:rsidRDefault="00491662" w:rsidP="00491662">
      <w:pPr>
        <w:autoSpaceDE w:val="0"/>
        <w:autoSpaceDN w:val="0"/>
        <w:adjustRightInd w:val="0"/>
        <w:spacing w:after="0" w:line="240" w:lineRule="auto"/>
        <w:jc w:val="both"/>
        <w:rPr>
          <w:sz w:val="20"/>
          <w:szCs w:val="20"/>
        </w:rPr>
      </w:pPr>
      <w:r>
        <w:rPr>
          <w:rStyle w:val="Refdenotaalpie"/>
        </w:rPr>
        <w:footnoteRef/>
      </w:r>
      <w:r>
        <w:t xml:space="preserve"> </w:t>
      </w:r>
      <w:r w:rsidRPr="009B7360">
        <w:rPr>
          <w:sz w:val="20"/>
          <w:szCs w:val="20"/>
        </w:rPr>
        <w:t xml:space="preserve">Uribe-Echeverría, Francisco (1990):”Desarrollo regional en los años noventa. Tendencias y perspectiva en Latinoamérica”. F. Alburquerque, C. de Mattos, R. Jordán </w:t>
      </w:r>
      <w:proofErr w:type="spellStart"/>
      <w:r w:rsidRPr="009B7360">
        <w:rPr>
          <w:sz w:val="20"/>
          <w:szCs w:val="20"/>
        </w:rPr>
        <w:t>Fuchs</w:t>
      </w:r>
      <w:proofErr w:type="spellEnd"/>
      <w:r w:rsidRPr="009B7360">
        <w:rPr>
          <w:sz w:val="20"/>
          <w:szCs w:val="20"/>
        </w:rPr>
        <w:t>: Revolución tecnológica y reestructuración productiva: Impactos y desafíos territoriales. ILPES/ONU. IEU/PUC. Grupo editor Latinoamericano. Colección Estudios Políticos y Sociales. 25-54. Buenos Aires</w:t>
      </w:r>
      <w:r>
        <w:rPr>
          <w:sz w:val="20"/>
          <w:szCs w:val="20"/>
        </w:rPr>
        <w:t xml:space="preserve"> 1990.</w:t>
      </w:r>
    </w:p>
  </w:footnote>
  <w:footnote w:id="4">
    <w:p w:rsidR="00491662" w:rsidRPr="009951FF" w:rsidRDefault="00491662" w:rsidP="00491662">
      <w:pPr>
        <w:pStyle w:val="Textonotapie"/>
      </w:pPr>
      <w:r>
        <w:rPr>
          <w:rStyle w:val="Refdenotaalpie"/>
        </w:rPr>
        <w:footnoteRef/>
      </w:r>
      <w:r>
        <w:t xml:space="preserve"> F. Nacif: “</w:t>
      </w:r>
      <w:r w:rsidRPr="009951FF">
        <w:t>El litio en Argentina: de insumo crítico a commodity minero</w:t>
      </w:r>
      <w:r>
        <w:t xml:space="preserve">” En F. Nacif  y M. Lacabana: </w:t>
      </w:r>
      <w:r>
        <w:rPr>
          <w:i/>
        </w:rPr>
        <w:t xml:space="preserve">ABC del Litio Sudamericano. Soberanía, ambiente, tecnología </w:t>
      </w:r>
      <w:r w:rsidRPr="009951FF">
        <w:rPr>
          <w:i/>
        </w:rPr>
        <w:t>e industria</w:t>
      </w:r>
      <w:r>
        <w:t>. Ed. UNQ/CCC. 219-290. Argentina 2015.</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footnotePr>
    <w:footnote w:id="-1"/>
    <w:footnote w:id="0"/>
  </w:footnotePr>
  <w:endnotePr>
    <w:endnote w:id="-1"/>
    <w:endnote w:id="0"/>
  </w:endnotePr>
  <w:compat/>
  <w:rsids>
    <w:rsidRoot w:val="00491662"/>
    <w:rsid w:val="00366FDE"/>
    <w:rsid w:val="00491662"/>
    <w:rsid w:val="00F1775B"/>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62"/>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491662"/>
    <w:pPr>
      <w:spacing w:after="0" w:line="240" w:lineRule="auto"/>
      <w:jc w:val="both"/>
    </w:pPr>
    <w:rPr>
      <w:sz w:val="20"/>
      <w:szCs w:val="20"/>
    </w:rPr>
  </w:style>
  <w:style w:type="character" w:customStyle="1" w:styleId="TextonotapieCar">
    <w:name w:val="Texto nota pie Car"/>
    <w:basedOn w:val="Fuentedeprrafopredeter"/>
    <w:link w:val="Textonotapie"/>
    <w:uiPriority w:val="99"/>
    <w:rsid w:val="00491662"/>
    <w:rPr>
      <w:rFonts w:ascii="Calibri" w:eastAsia="Calibri" w:hAnsi="Calibri" w:cs="Times New Roman"/>
      <w:sz w:val="20"/>
      <w:szCs w:val="20"/>
    </w:rPr>
  </w:style>
  <w:style w:type="character" w:styleId="Refdenotaalpie">
    <w:name w:val="footnote reference"/>
    <w:basedOn w:val="Fuentedeprrafopredeter"/>
    <w:uiPriority w:val="99"/>
    <w:semiHidden/>
    <w:unhideWhenUsed/>
    <w:rsid w:val="00491662"/>
    <w:rPr>
      <w:vertAlign w:val="superscript"/>
    </w:rPr>
  </w:style>
  <w:style w:type="character" w:customStyle="1" w:styleId="texto10">
    <w:name w:val="texto_10"/>
    <w:basedOn w:val="Fuentedeprrafopredeter"/>
    <w:rsid w:val="00491662"/>
  </w:style>
  <w:style w:type="character" w:customStyle="1" w:styleId="lrzxr">
    <w:name w:val="lrzxr"/>
    <w:basedOn w:val="Fuentedeprrafopredeter"/>
    <w:rsid w:val="0049166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1299</Words>
  <Characters>7150</Characters>
  <Application>Microsoft Office Word</Application>
  <DocSecurity>0</DocSecurity>
  <Lines>59</Lines>
  <Paragraphs>16</Paragraphs>
  <ScaleCrop>false</ScaleCrop>
  <Company>Toshiba</Company>
  <LinksUpToDate>false</LinksUpToDate>
  <CharactersWithSpaces>8433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1</cp:revision>
  <dcterms:created xsi:type="dcterms:W3CDTF">2018-05-08T14:17:00Z</dcterms:created>
  <dcterms:modified xsi:type="dcterms:W3CDTF">2018-05-08T14:32:00Z</dcterms:modified>
</cp:coreProperties>
</file>